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ходе реализации и оценке эффективности подпрограммы </w:t>
            </w:r>
          </w:p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«Развитие учреждений культуры и образования в сфере культуры»</w:t>
            </w:r>
          </w:p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государственной программы Калужской области </w:t>
            </w:r>
          </w:p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«Развитие культуры в Калужской области»</w:t>
            </w:r>
          </w:p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 2020 году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подпрограммы - «Развитие учреждений культуры и образования в сфере культуры» государственной программы Калужской области - «Развитие культуры в Калужской области».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1.1 Перечень основных мероприятий, входящих в</w:t>
            </w:r>
            <w:r w:rsid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подпрограмму: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1. «Развитие общедоступных библиотек»;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2. «Сохранение и развитие музейного дела»;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3. «Поддержка и развитие традиционной народной культуры и кинематографии, развитие любительского творчества»;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4. «Развитие театрально-концертной деятельности»;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5. «Развитие образования в сфере культуры»;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6. «Ремонт (реставрация), реконструкция зданий и внутренних помещений учреждений культуры, образования в сфере культуры и архивов, строительство зданий и сооружений, благоустройство территорий учреждений культуры, образования в сфере культуры и архивов, укрепление и развитие их материально-технической базы»;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7. «Поддержка творческой деятельности и техническое оснащение детских и кукольных театров»;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proofErr w:type="gramStart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«Развитие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человек, выполнение ремонтных работ в отношении объектов, закрепленных на праве оперативного управления за домами культуры (и их филиалами), расположенными в населенных пунктах с численностью населения до 50 тысяч человек, включая мероприятия: развитие и укрепление материально-технической базы домов культуры (и их</w:t>
            </w:r>
            <w:proofErr w:type="gramEnd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филиалов), расположенных в населенных пунктах с численностью населения до 50 тысяч человек; ремонтные работы (текущий ремонт) в отношении зданий домов культуры (и их филиалов), расположенных в населенных пунктах с численностью населения до 50 тысяч человек»;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9. «Комплектование книжных фондов муниципальных общедоступных библиотек и государственных центральных библиотек Калужской области».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10. «Подключение муниципальных общедоступных библиотек и государственных центральных библиотек Калужской области к информационно-телекоммуникационной сети Интернет и развитие библиотечного дела с учетом задачи расширения информационных технологий и оцифровки»;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11. «Модернизация региональных и муниципальных детских школ искусств по видам искусств путем их реконструкции, капитального ремонта»;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12. «Культурная среда»;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13. «Цифровая культура»;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Цель</w:t>
            </w:r>
            <w:r w:rsid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подпрограммы: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конституционных прав граждан на доступ к культурным ценностям, информации и знаниям;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Развитие инфраструктуры учреждений культуры, способной удовлетворять 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духовные и творческие потребности всех социальных категорий населения Калужской области.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Задачи подпрограммы: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1. Обеспечение условий доступности к лучшим образцам культуры путем создания современной инфраструктуры для творческой самореализации и досуга населения;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2. Повышение обеспеченности населения Калужской области услугами библиотек и приобщение населения Калужской области к чтению;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261435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B4C78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Подготовка творческих и педагогических кадров в сфере культуры и искусства, а также выявление художественно одаренных детей и молодежи посредством поддержки и развития государственных образовательных учреждений Калужской области, осуществляющих образовательную деятельность по образовательным программам в области культуры и искусств;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261435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B4C78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Развитие кинематографии;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261435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EB4C78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Развитие народного творчества и культурно-досуговой деятельности;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261435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EB4C78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Развитие профессионального искусства и творческого потенциала населения Калужской области.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261435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EB4C78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Развитие экспозиционно-выставочной, издательской и научно-просветительской деятельности государственных музеев Калужской области;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261435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EB4C78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Расширение театрального предложения для детей и повышение его качества;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261435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EB4C78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Создание нового качественного уровня развития и оснащенности бюджетной сети учреждений культуры и образования в сфере культуры, в том числе в сельской местности;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61435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Создание условий для творческого развития детей и молодежи;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61435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Создание условий для участия жителей Калужской области в культурной жизни вне зависимости от места их проживания;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Удовлетворение потребности жителей Калужской области в новых литературных произведениях и библиотечных документах;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Укрепление материально-технической базы учреждений культуры, образования в сфере культуры и архивов;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EB4C78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EB4C78" w:rsidRPr="001D34C0" w:rsidRDefault="00EB4C78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2.1 Основные результаты, достигнутые в 2020 году: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1D34C0">
              <w:rPr>
                <w:sz w:val="26"/>
                <w:szCs w:val="26"/>
              </w:rPr>
              <w:t>За 2020 год театрами создано 13 новых постановок.</w:t>
            </w:r>
          </w:p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>Продолжена поддержка детских театров по программе «Театры – детям» (в рамках партийного проекта «Единой России» «Культура малой Родины»). Калужский областной театр юного зрителя и Калужский театр кукол получили комфортабельные автобусы</w:t>
            </w:r>
            <w:r w:rsidR="00261435" w:rsidRPr="001D34C0">
              <w:rPr>
                <w:rFonts w:ascii="Times New Roman" w:hAnsi="Times New Roman"/>
                <w:sz w:val="26"/>
                <w:szCs w:val="26"/>
              </w:rPr>
              <w:t xml:space="preserve"> для осуществления </w:t>
            </w:r>
            <w:proofErr w:type="gramStart"/>
            <w:r w:rsidR="00261435" w:rsidRPr="001D34C0">
              <w:rPr>
                <w:rFonts w:ascii="Times New Roman" w:hAnsi="Times New Roman"/>
                <w:sz w:val="26"/>
                <w:szCs w:val="26"/>
              </w:rPr>
              <w:t>гастрольной</w:t>
            </w:r>
            <w:proofErr w:type="gramEnd"/>
            <w:r w:rsidR="00261435" w:rsidRPr="001D34C0">
              <w:rPr>
                <w:rFonts w:ascii="Times New Roman" w:hAnsi="Times New Roman"/>
                <w:sz w:val="26"/>
                <w:szCs w:val="26"/>
              </w:rPr>
              <w:t xml:space="preserve"> деятельность</w:t>
            </w:r>
            <w:r w:rsidRPr="001D34C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D34A62" w:rsidRPr="001D34C0" w:rsidRDefault="00261435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34A62" w:rsidRPr="001D34C0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D34C0">
              <w:rPr>
                <w:rFonts w:ascii="Times New Roman" w:hAnsi="Times New Roman"/>
                <w:sz w:val="26"/>
                <w:szCs w:val="26"/>
              </w:rPr>
              <w:t>у</w:t>
            </w:r>
            <w:r w:rsidR="00D34A62" w:rsidRPr="001D34C0">
              <w:rPr>
                <w:rFonts w:ascii="Times New Roman" w:hAnsi="Times New Roman"/>
                <w:sz w:val="26"/>
                <w:szCs w:val="26"/>
              </w:rPr>
              <w:t xml:space="preserve"> музеями Калужской области проведено 732 выставки, которые посетили 235,79 тыс. чел. </w:t>
            </w:r>
          </w:p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 xml:space="preserve">Открыт военно-исторический центр «Маршал Победы – Георгий Константинович Жуков». </w:t>
            </w:r>
          </w:p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>Расширяется издательская деятельность. В 2020 году Калужским объединенным музеем-заповедником издан сборник книг по истории Калужского края «Достояние земли Калужской».</w:t>
            </w:r>
          </w:p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 xml:space="preserve">Информационно-библиотечное обслуживание осуществляет 419 общедоступная библиотека. Совокупный библиотечный фонд – </w:t>
            </w:r>
            <w:r w:rsidR="00261435" w:rsidRPr="001D34C0">
              <w:rPr>
                <w:rFonts w:ascii="Times New Roman" w:hAnsi="Times New Roman"/>
                <w:sz w:val="26"/>
                <w:szCs w:val="26"/>
              </w:rPr>
              <w:t>более 8</w:t>
            </w:r>
            <w:r w:rsidRPr="001D34C0">
              <w:rPr>
                <w:rFonts w:ascii="Times New Roman" w:hAnsi="Times New Roman"/>
                <w:sz w:val="26"/>
                <w:szCs w:val="26"/>
              </w:rPr>
              <w:t xml:space="preserve"> млн. экземпляров. Ежегодно библиотеки обслуживают более 416 тыс. читателей, число посещений </w:t>
            </w:r>
            <w:r w:rsidR="00261435" w:rsidRPr="001D34C0">
              <w:rPr>
                <w:rFonts w:ascii="Times New Roman" w:hAnsi="Times New Roman"/>
                <w:sz w:val="26"/>
                <w:szCs w:val="26"/>
              </w:rPr>
              <w:t>в 2020 году –</w:t>
            </w:r>
            <w:r w:rsidRPr="001D3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1435" w:rsidRPr="001D34C0">
              <w:rPr>
                <w:rFonts w:ascii="Times New Roman" w:hAnsi="Times New Roman"/>
                <w:sz w:val="26"/>
                <w:szCs w:val="26"/>
              </w:rPr>
              <w:t>2397,9</w:t>
            </w:r>
            <w:r w:rsidRPr="001D34C0">
              <w:rPr>
                <w:rFonts w:ascii="Times New Roman" w:hAnsi="Times New Roman"/>
                <w:sz w:val="26"/>
                <w:szCs w:val="26"/>
              </w:rPr>
              <w:t xml:space="preserve"> тыс., подключение к сети Интернет составляет 100 %.</w:t>
            </w:r>
          </w:p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 xml:space="preserve">Продолжается интеграция библиотек региона в единую </w:t>
            </w:r>
            <w:r w:rsidRPr="001D34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библиотечно-информационную сеть. На сегодняшний день в Калужской области доступ к федеральной государственной информационной системе «Национальная электронная библиотека» (далее - НЭБ) обеспечивают 73 библиотеки, в том числе все центральные районные библиотеки региона. Каждый житель Калужской области имеет доступ к НЭБ. Оцифровано 3 215 редких изданий. </w:t>
            </w:r>
          </w:p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>В 2020 году в рамках национального проекта «Культура» созданы</w:t>
            </w:r>
            <w:r w:rsidR="001D3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34C0">
              <w:rPr>
                <w:rFonts w:ascii="Times New Roman" w:hAnsi="Times New Roman"/>
                <w:sz w:val="26"/>
                <w:szCs w:val="26"/>
              </w:rPr>
              <w:t xml:space="preserve">две модельные библиотеки на базе </w:t>
            </w:r>
            <w:proofErr w:type="spellStart"/>
            <w:r w:rsidRPr="001D34C0">
              <w:rPr>
                <w:rFonts w:ascii="Times New Roman" w:hAnsi="Times New Roman"/>
                <w:sz w:val="26"/>
                <w:szCs w:val="26"/>
              </w:rPr>
              <w:t>Перемышльской</w:t>
            </w:r>
            <w:proofErr w:type="spellEnd"/>
            <w:r w:rsidRPr="001D34C0">
              <w:rPr>
                <w:rFonts w:ascii="Times New Roman" w:hAnsi="Times New Roman"/>
                <w:sz w:val="26"/>
                <w:szCs w:val="26"/>
              </w:rPr>
              <w:t xml:space="preserve"> центральной районной библиотеки и городской библиотеки № 4 муниципального казенного учреждения «Централизованная библиотечная система МР «Город Киров и Кировский район».</w:t>
            </w:r>
          </w:p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>В настоящее время уже функционируют 6 модельных библиотек, созданных в рамках национального проекта «Культура.</w:t>
            </w:r>
          </w:p>
          <w:p w:rsidR="00D34A62" w:rsidRPr="001D34C0" w:rsidRDefault="00D34A62" w:rsidP="001D34C0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D34C0">
              <w:rPr>
                <w:sz w:val="26"/>
                <w:szCs w:val="26"/>
              </w:rPr>
              <w:t xml:space="preserve">Сеть учреждений культуры клубного типа </w:t>
            </w:r>
            <w:r w:rsidR="00261435" w:rsidRPr="001D34C0">
              <w:rPr>
                <w:sz w:val="26"/>
                <w:szCs w:val="26"/>
              </w:rPr>
              <w:t xml:space="preserve">в 2020 году </w:t>
            </w:r>
            <w:r w:rsidRPr="001D34C0">
              <w:rPr>
                <w:sz w:val="26"/>
                <w:szCs w:val="26"/>
              </w:rPr>
              <w:t>составляет 378 учреждений. Функционирует 3534 клубных формирования, в которых занимаются 46,4 тыс. человек, из них 2,6 – в сельской местности с количеством участников 28,9 тыс. человек. 178 коллективов имеют звание «Народный самодеятельный коллектив», из них 3 – звание «образцовый самодеятельный коллектив», 2 - «заслуженный коллектив народного творчества».</w:t>
            </w:r>
          </w:p>
          <w:p w:rsidR="00D34A62" w:rsidRPr="001D34C0" w:rsidRDefault="00D34A62" w:rsidP="001D34C0">
            <w:pPr>
              <w:pStyle w:val="Default"/>
              <w:ind w:firstLine="709"/>
              <w:jc w:val="both"/>
              <w:rPr>
                <w:color w:val="auto"/>
                <w:sz w:val="26"/>
                <w:szCs w:val="26"/>
                <w:lang w:eastAsia="ru-RU"/>
              </w:rPr>
            </w:pPr>
            <w:r w:rsidRPr="001D34C0">
              <w:rPr>
                <w:color w:val="auto"/>
                <w:sz w:val="26"/>
                <w:szCs w:val="26"/>
                <w:lang w:eastAsia="ru-RU"/>
              </w:rPr>
              <w:t xml:space="preserve">Важной задачей стало оснащение культурно-досуговых учреждений специализированным автотранспортом для обслуживания сельского населения. В рамках реализации национального проекта «Культура» с 2020 года поэтапно в течение трех лет с целью обслуживания сельского населения приобретается 19 передвижных многофункциональных культурных центров (автоклубов). </w:t>
            </w:r>
          </w:p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 xml:space="preserve">В 2020 году автоклубы поступили и начали обслуживать сельские населенные пункты в 8 муниципальных образованиях Калужской области: </w:t>
            </w:r>
            <w:proofErr w:type="gramStart"/>
            <w:r w:rsidRPr="001D34C0">
              <w:rPr>
                <w:rFonts w:ascii="Times New Roman" w:hAnsi="Times New Roman"/>
                <w:sz w:val="26"/>
                <w:szCs w:val="26"/>
              </w:rPr>
              <w:t>Боровском, Козельском, Куйбышевском, Мосальском, Тарусском, Спас</w:t>
            </w:r>
            <w:r w:rsidRPr="001D34C0">
              <w:rPr>
                <w:rFonts w:ascii="Times New Roman" w:hAnsi="Times New Roman"/>
                <w:sz w:val="26"/>
                <w:szCs w:val="26"/>
              </w:rPr>
              <w:noBreakHyphen/>
              <w:t>Деменском, Юхновском районах и городе Калуге.</w:t>
            </w:r>
            <w:proofErr w:type="gramEnd"/>
          </w:p>
          <w:p w:rsidR="00D34A62" w:rsidRPr="001D34C0" w:rsidRDefault="00D34A62" w:rsidP="001D34C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1D34C0">
              <w:rPr>
                <w:sz w:val="26"/>
                <w:szCs w:val="26"/>
              </w:rPr>
              <w:t>В 2020 году открыт 1 виртуальный концертный зал в г. Мосальске Калужской области.</w:t>
            </w:r>
          </w:p>
          <w:p w:rsidR="00261435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 xml:space="preserve">В рамках национального проекта «Культура» в Калужской области выполнены запланированные на 2020 год работы по капитальному ремонту 11 культурно-досуговых учреждений, расположенных в сельской местности. </w:t>
            </w:r>
          </w:p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>Продолжается строительство Центра культурного развития с залом на 300 мест в п. Ферзиково.</w:t>
            </w:r>
          </w:p>
          <w:p w:rsidR="00261435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 xml:space="preserve">В рамках федерального партийного проекта «Культура малой Родины» в 2020 году были выполнены текущие ремонты в 7-ми и обновлена материально-техническая база в 27-ми Домах культуры. </w:t>
            </w:r>
          </w:p>
          <w:p w:rsidR="00261435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 xml:space="preserve">В рамках плана основных мероприятий, связанных с подготовкой и проведением празднования в 2021 году 650 - </w:t>
            </w:r>
            <w:proofErr w:type="spellStart"/>
            <w:r w:rsidRPr="001D34C0">
              <w:rPr>
                <w:rFonts w:ascii="Times New Roman" w:hAnsi="Times New Roman"/>
                <w:sz w:val="26"/>
                <w:szCs w:val="26"/>
              </w:rPr>
              <w:t>летия</w:t>
            </w:r>
            <w:proofErr w:type="spellEnd"/>
            <w:r w:rsidRPr="001D34C0">
              <w:rPr>
                <w:rFonts w:ascii="Times New Roman" w:hAnsi="Times New Roman"/>
                <w:sz w:val="26"/>
                <w:szCs w:val="26"/>
              </w:rPr>
              <w:t xml:space="preserve"> основания г. Калуги, за счет средств федерального и областного бюджета (на условиях </w:t>
            </w:r>
            <w:proofErr w:type="spellStart"/>
            <w:r w:rsidRPr="001D34C0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1D34C0">
              <w:rPr>
                <w:rFonts w:ascii="Times New Roman" w:hAnsi="Times New Roman"/>
                <w:sz w:val="26"/>
                <w:szCs w:val="26"/>
              </w:rPr>
              <w:t>) в 2020 году были выполнены ремонтные и</w:t>
            </w:r>
            <w:r w:rsidR="001D34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34C0">
              <w:rPr>
                <w:rFonts w:ascii="Times New Roman" w:hAnsi="Times New Roman"/>
                <w:sz w:val="26"/>
                <w:szCs w:val="26"/>
              </w:rPr>
              <w:t xml:space="preserve">ремонтно-реставрационные работы по 17-ти объектам (из них 15 объекты культурного наследия). </w:t>
            </w:r>
          </w:p>
          <w:p w:rsidR="00261435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sz w:val="26"/>
                <w:szCs w:val="26"/>
              </w:rPr>
              <w:t xml:space="preserve">В рамках </w:t>
            </w:r>
            <w:proofErr w:type="gramStart"/>
            <w:r w:rsidRPr="001D34C0">
              <w:rPr>
                <w:rFonts w:ascii="Times New Roman" w:hAnsi="Times New Roman"/>
                <w:sz w:val="26"/>
                <w:szCs w:val="26"/>
              </w:rPr>
              <w:t>исполнения поручений Председателя Правительства Российской Федерации</w:t>
            </w:r>
            <w:proofErr w:type="gramEnd"/>
            <w:r w:rsidRPr="001D34C0">
              <w:rPr>
                <w:rFonts w:ascii="Times New Roman" w:hAnsi="Times New Roman"/>
                <w:sz w:val="26"/>
                <w:szCs w:val="26"/>
              </w:rPr>
              <w:t xml:space="preserve"> от 30.01.2020 № ММ-П13-441 «О мерах по реализации Послания Президента Российской Федерации Федеральному Собранию Российской Федерации от 15.01.2020» в 2020 году проводилась модернизация (капитальный ремонт) 6 зданий детских школ искусств по видам искусств. 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подпрограммы: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развивается инфраструктура учреждений культуры, способная удовлетворять 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духовные и творческие потребности всех социальных категорий населения Калужской области.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3. Сведения о степени соответствия установленных и достигнутых показателей</w:t>
            </w:r>
            <w:r w:rsid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подпрограммы за отчетный год: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1. Количество посещений общедоступных (публичных) библиотек;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2. Количество выставок, проводимых в государственных музеях Калужской области;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3. Среднее число посещений музеев в расчете на 1 тыс. человек;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4. Доля музеев, имеющих сайт в информационно-телекоммуникационной сети Интернет, в общем количестве музеев Калужской области;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5. Среднее количество выставок в расчете на 10 тыс. человек;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Доля отреставрированных предметов музейного </w:t>
            </w:r>
            <w:proofErr w:type="gramStart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фонда</w:t>
            </w:r>
            <w:proofErr w:type="gramEnd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общем числе требующих реставрации предметов основного фонда музеев;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7. Количество выставочных проектов, снабженных цифровыми гидами в формате дополненной реальности (нарастающим итогом);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Количество организованных ГБУК </w:t>
            </w:r>
            <w:proofErr w:type="gramStart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КО</w:t>
            </w:r>
            <w:proofErr w:type="gramEnd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«Калужский областной центр народного творчества» культурно-массовых мероприятий (иной деятельности, в результате которой сохраняются, создаются, распространяются и осваиваются культурные ценности).</w:t>
            </w:r>
          </w:p>
          <w:p w:rsidR="0059740B" w:rsidRPr="001D34C0" w:rsidRDefault="0059740B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 Количество граждан, воспользовавшихся услугами организаций культурно-досугового типа Калужской области;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59740B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Количество фильмов, принятых на хранение ГБУК </w:t>
            </w:r>
            <w:proofErr w:type="gramStart"/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КО</w:t>
            </w:r>
            <w:proofErr w:type="gramEnd"/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"Дом народного творчества и кино "Центральный" (ежегодно);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Количество выданных копий фильмов из фильмофонда ГБУК </w:t>
            </w:r>
            <w:proofErr w:type="gramStart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КО</w:t>
            </w:r>
            <w:proofErr w:type="gramEnd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"Дом народного творчества и кино "Центральный" (ежегодно);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публичных показов спектаклей, проведенных силами государственных театров Калужской области;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концертов, концертных программ, проведенных с участием собственных коллективов и исполнителей государственных концертных учреждений культуры Калужской области;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посещений театрально-концертных мероприятий, проведенных силами государственных театрально-концертных организаций Калужской области;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Численность студентов профессиональных образовательных организаций в сфере культуры Калужской области;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Численность обучающихся по программам дополнительного предпрофессионального образования в профессиональных образовательных организациях в сфере культуры;</w:t>
            </w:r>
            <w:proofErr w:type="gramEnd"/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специалистов, прошедших повышение квалификации на базе центров непрерывного образования (нарастающим итогом);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созданных (реконструированных) и капитально отремонтированных объектов культуры в Калужской области (нарастающим итогом с 2019 года);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организаций Калужской области, получивших современное оборудование (нарастающим итогом);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59740B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созданных виртуальных концертных залов в Калужской области (нарастающим итогом);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посещений детских и кукольных театров Калужской области;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Средняя численность участников клубных формирований в расчете на 1 тыс. человек;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документов библиотечного фонда государственных библиотек;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Численность учащихся в детских школах искусств Калужской области;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Доля детей, обучающихся в детских школах искусств, в общей численности учащихся детей в Калужской области;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597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 Количество зданий региональных и муниципальных детских школ искусств по видам деятельности, в которых выполнены мероприятия по модернизации;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  <w:proofErr w:type="gramStart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Количество мероприятий, проведенных ГБУК </w:t>
            </w:r>
            <w:proofErr w:type="gramStart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КО</w:t>
            </w:r>
            <w:proofErr w:type="gramEnd"/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«Инновационный культурный центр».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59740B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Количество специалистов учреждений культуры и образования в сфере культуры Калужской области, прошедших </w:t>
            </w:r>
            <w:proofErr w:type="gramStart"/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обучение по программам</w:t>
            </w:r>
            <w:proofErr w:type="gramEnd"/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повышения квалификации;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261435" w:rsidP="007D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D34C0">
              <w:rPr>
                <w:rFonts w:ascii="Times New Roman" w:hAnsi="Times New Roman"/>
                <w:i/>
                <w:sz w:val="26"/>
                <w:szCs w:val="26"/>
              </w:rPr>
              <w:t>Сведения о достижении значений показателей подпрограммы представлен</w:t>
            </w:r>
            <w:r w:rsidR="007D3331">
              <w:rPr>
                <w:rFonts w:ascii="Times New Roman" w:hAnsi="Times New Roman"/>
                <w:i/>
                <w:sz w:val="26"/>
                <w:szCs w:val="26"/>
              </w:rPr>
              <w:t>ы</w:t>
            </w:r>
            <w:r w:rsidRPr="001D34C0">
              <w:rPr>
                <w:rFonts w:ascii="Times New Roman" w:hAnsi="Times New Roman"/>
                <w:i/>
                <w:sz w:val="26"/>
                <w:szCs w:val="26"/>
              </w:rPr>
              <w:t xml:space="preserve"> в приложении № 1.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4.1 Выполненные контрольные мероприятия: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59740B" w:rsidRPr="0059740B" w:rsidRDefault="001D34C0" w:rsidP="006701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открытие 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2020 году 9 виртуальных концертных залов</w:t>
            </w:r>
            <w:r w:rsidR="005974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 w:rsidR="0059740B" w:rsidRPr="0059740B">
              <w:rPr>
                <w:rFonts w:ascii="Times New Roman" w:hAnsi="Times New Roman"/>
                <w:sz w:val="26"/>
                <w:szCs w:val="26"/>
              </w:rPr>
              <w:t xml:space="preserve">ГАУК </w:t>
            </w:r>
            <w:proofErr w:type="gramStart"/>
            <w:r w:rsidR="0059740B" w:rsidRPr="0059740B"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  <w:r w:rsidR="0059740B" w:rsidRPr="0059740B">
              <w:rPr>
                <w:rFonts w:ascii="Times New Roman" w:hAnsi="Times New Roman"/>
                <w:sz w:val="26"/>
                <w:szCs w:val="26"/>
              </w:rPr>
              <w:t xml:space="preserve"> «Калужская областная филармония</w:t>
            </w:r>
            <w:r w:rsidR="0059740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9740B" w:rsidRPr="0059740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«Кировский районный центр культуры и искусства»</w:t>
            </w:r>
            <w:r w:rsidR="0059740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9740B" w:rsidRPr="0059740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«Дом культуры города Медынь»</w:t>
            </w:r>
            <w:r w:rsidR="0059740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9740B" w:rsidRPr="0059740B">
              <w:rPr>
                <w:rFonts w:ascii="Times New Roman" w:hAnsi="Times New Roman"/>
                <w:sz w:val="26"/>
                <w:szCs w:val="26"/>
              </w:rPr>
              <w:t>Музей-заповедник «Полотняный Завод» – филиал государственного бюджетного учреждения культуры Калужской области «Калужский объединенный музей-заповедник»</w:t>
            </w:r>
            <w:r w:rsidR="006701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34A62" w:rsidRPr="0067010F" w:rsidRDefault="0059740B" w:rsidP="00670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59740B">
              <w:rPr>
                <w:rFonts w:ascii="Times New Roman" w:hAnsi="Times New Roman"/>
                <w:sz w:val="26"/>
                <w:szCs w:val="26"/>
              </w:rPr>
              <w:t>Тарусская картинная галерея – филиал государственного бюджетного учреждения культуры Калужской области «Калужский музей изобразительных искусств»</w:t>
            </w:r>
            <w:r w:rsidR="006701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9740B">
              <w:rPr>
                <w:rFonts w:ascii="Times New Roman" w:hAnsi="Times New Roman"/>
                <w:sz w:val="26"/>
                <w:szCs w:val="26"/>
              </w:rPr>
              <w:t xml:space="preserve">Муниципальное </w:t>
            </w:r>
            <w:proofErr w:type="spellStart"/>
            <w:r w:rsidRPr="0059740B">
              <w:rPr>
                <w:rFonts w:ascii="Times New Roman" w:hAnsi="Times New Roman"/>
                <w:sz w:val="26"/>
                <w:szCs w:val="26"/>
              </w:rPr>
              <w:t>межпоселенческое</w:t>
            </w:r>
            <w:proofErr w:type="spellEnd"/>
            <w:r w:rsidRPr="0059740B">
              <w:rPr>
                <w:rFonts w:ascii="Times New Roman" w:hAnsi="Times New Roman"/>
                <w:sz w:val="26"/>
                <w:szCs w:val="26"/>
              </w:rPr>
              <w:t xml:space="preserve"> бюджетное учреждение культуры «Жиздринская районная централизованная библиотечная система</w:t>
            </w:r>
            <w:r w:rsidRPr="0067010F">
              <w:rPr>
                <w:rFonts w:ascii="Times New Roman" w:hAnsi="Times New Roman"/>
                <w:sz w:val="26"/>
                <w:szCs w:val="26"/>
              </w:rPr>
              <w:t>»</w:t>
            </w:r>
            <w:r w:rsidR="0067010F" w:rsidRPr="006701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9740B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культуры «Жуковская </w:t>
            </w:r>
            <w:proofErr w:type="spellStart"/>
            <w:r w:rsidRPr="0059740B">
              <w:rPr>
                <w:rFonts w:ascii="Times New Roman" w:hAnsi="Times New Roman"/>
                <w:sz w:val="26"/>
                <w:szCs w:val="26"/>
              </w:rPr>
              <w:t>межпоселенческая</w:t>
            </w:r>
            <w:proofErr w:type="spellEnd"/>
            <w:r w:rsidRPr="0059740B">
              <w:rPr>
                <w:rFonts w:ascii="Times New Roman" w:hAnsi="Times New Roman"/>
                <w:sz w:val="26"/>
                <w:szCs w:val="26"/>
              </w:rPr>
              <w:t xml:space="preserve"> центральная библиотека имени Н.Н. Ремизова</w:t>
            </w:r>
            <w:r w:rsidR="006701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59740B">
              <w:rPr>
                <w:rFonts w:ascii="Times New Roman" w:hAnsi="Times New Roman"/>
                <w:sz w:val="26"/>
                <w:szCs w:val="26"/>
              </w:rPr>
              <w:t>Середейский</w:t>
            </w:r>
            <w:proofErr w:type="spellEnd"/>
            <w:r w:rsidRPr="0059740B">
              <w:rPr>
                <w:rFonts w:ascii="Times New Roman" w:hAnsi="Times New Roman"/>
                <w:sz w:val="26"/>
                <w:szCs w:val="26"/>
              </w:rPr>
              <w:t xml:space="preserve"> поселковый Дом культуры муниципального казенного учреждения «</w:t>
            </w:r>
            <w:proofErr w:type="spellStart"/>
            <w:r w:rsidRPr="0059740B">
              <w:rPr>
                <w:rFonts w:ascii="Times New Roman" w:hAnsi="Times New Roman"/>
                <w:sz w:val="26"/>
                <w:szCs w:val="26"/>
              </w:rPr>
              <w:t>Межпоселенческий</w:t>
            </w:r>
            <w:proofErr w:type="spellEnd"/>
            <w:r w:rsidRPr="0059740B">
              <w:rPr>
                <w:rFonts w:ascii="Times New Roman" w:hAnsi="Times New Roman"/>
                <w:sz w:val="26"/>
                <w:szCs w:val="26"/>
              </w:rPr>
              <w:t xml:space="preserve"> социально-культурный комплекс» отдела культуры администрации МР «Сухиничский район»</w:t>
            </w:r>
            <w:r w:rsidR="0067010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7010F" w:rsidRPr="0067010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«Культура муниципального района «Мосальский район»</w:t>
            </w:r>
            <w:r w:rsidR="0067010F">
              <w:rPr>
                <w:rFonts w:ascii="Times New Roman" w:hAnsi="Times New Roman"/>
                <w:sz w:val="26"/>
                <w:szCs w:val="26"/>
              </w:rPr>
              <w:t>)</w:t>
            </w:r>
            <w:r w:rsidR="0067010F" w:rsidRPr="0067010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Фактическое финансирование подпрограммы в 2020 году составило 973976.296 тыс. руб., в том числе за счет средств: 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федерального бюджета 133451.498 тыс. руб.;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- областного бюджета 829130.395 тыс. руб.;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- местных бюджетов 11394.403 тыс. руб</w:t>
            </w:r>
            <w:proofErr w:type="gramStart"/>
            <w:r w:rsidR="00D34A62"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..</w:t>
            </w:r>
            <w:proofErr w:type="gramEnd"/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iCs/>
                <w:sz w:val="26"/>
                <w:szCs w:val="26"/>
              </w:rPr>
              <w:t>Средства федерального бюджета привлекались в рамках реализации государственной программы Российской Федерации «Развитие культуры и туризма».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Данные об использовании бюджетных и иных средств на реализацию мероприятий государственной программы в рамках подпрограмм представлены в </w:t>
            </w:r>
            <w:r w:rsidR="001D34C0" w:rsidRPr="001D34C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приложении</w:t>
            </w:r>
            <w:r w:rsidRPr="001D34C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№ 2.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подпрограммы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D34A62" w:rsidP="0067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2020 году реализация подпрограммы Калужской области «Развитие учреждений культуры и образования в сфере культуры» характеризуется 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высоким уровнем эффективности – 9</w:t>
            </w:r>
            <w:r w:rsidR="0067010F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7010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1D34C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</w:p>
        </w:tc>
      </w:tr>
      <w:tr w:rsidR="00D34A62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D34A62" w:rsidRPr="001D34C0" w:rsidRDefault="001D34C0" w:rsidP="001D3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1D34C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lastRenderedPageBreak/>
              <w:t xml:space="preserve">Расчет оценки эффективности реализации подпрограммы представлен в </w:t>
            </w:r>
            <w:bookmarkStart w:id="0" w:name="_GoBack"/>
            <w:r w:rsidRPr="001D34C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прилож</w:t>
            </w:r>
            <w:bookmarkEnd w:id="0"/>
            <w:r w:rsidRPr="001D34C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ении № 3.1.</w:t>
            </w:r>
          </w:p>
        </w:tc>
      </w:tr>
    </w:tbl>
    <w:p w:rsidR="00EB4C78" w:rsidRDefault="00EB4C78"/>
    <w:sectPr w:rsidR="00EB4C78">
      <w:footerReference w:type="default" r:id="rId8"/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2B" w:rsidRDefault="0029342B">
      <w:pPr>
        <w:spacing w:after="0" w:line="240" w:lineRule="auto"/>
      </w:pPr>
      <w:r>
        <w:separator/>
      </w:r>
    </w:p>
  </w:endnote>
  <w:endnote w:type="continuationSeparator" w:id="0">
    <w:p w:rsidR="0029342B" w:rsidRDefault="0029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C78" w:rsidRDefault="00EB4C78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7D3331">
      <w:rPr>
        <w:rFonts w:ascii="Times New Roman" w:hAnsi="Times New Roman"/>
        <w:noProof/>
        <w:color w:val="000000"/>
        <w:sz w:val="20"/>
        <w:szCs w:val="20"/>
      </w:rPr>
      <w:t>6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7D3331">
      <w:rPr>
        <w:rFonts w:ascii="Times New Roman" w:hAnsi="Times New Roman"/>
        <w:noProof/>
        <w:color w:val="000000"/>
        <w:sz w:val="20"/>
        <w:szCs w:val="20"/>
      </w:rPr>
      <w:t>6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2B" w:rsidRDefault="0029342B">
      <w:pPr>
        <w:spacing w:after="0" w:line="240" w:lineRule="auto"/>
      </w:pPr>
      <w:r>
        <w:separator/>
      </w:r>
    </w:p>
  </w:footnote>
  <w:footnote w:type="continuationSeparator" w:id="0">
    <w:p w:rsidR="0029342B" w:rsidRDefault="00293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3AB"/>
    <w:multiLevelType w:val="hybridMultilevel"/>
    <w:tmpl w:val="1B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3B"/>
    <w:rsid w:val="001D34C0"/>
    <w:rsid w:val="00261435"/>
    <w:rsid w:val="0029342B"/>
    <w:rsid w:val="00394C37"/>
    <w:rsid w:val="00495169"/>
    <w:rsid w:val="0059740B"/>
    <w:rsid w:val="0067010F"/>
    <w:rsid w:val="007D3331"/>
    <w:rsid w:val="0095213B"/>
    <w:rsid w:val="00A0054C"/>
    <w:rsid w:val="00CA00B7"/>
    <w:rsid w:val="00D34A62"/>
    <w:rsid w:val="00EB4C78"/>
    <w:rsid w:val="00E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34A6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34A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A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34A6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34A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m_brovkin 09.03.2021 11:52:55</dc:subject>
  <dc:creator>Keysystems.DWH2.ReportDesigner</dc:creator>
  <cp:lastModifiedBy>Сенина Ольга Валентиновна</cp:lastModifiedBy>
  <cp:revision>4</cp:revision>
  <dcterms:created xsi:type="dcterms:W3CDTF">2021-03-18T09:04:00Z</dcterms:created>
  <dcterms:modified xsi:type="dcterms:W3CDTF">2021-03-19T11:57:00Z</dcterms:modified>
</cp:coreProperties>
</file>